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371B24C2" w:rsidR="00C816D7" w:rsidRDefault="00EC734E" w:rsidP="00491A35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>н</w:t>
      </w:r>
      <w:r w:rsidR="00B858DA" w:rsidRPr="00102261">
        <w:rPr>
          <w:b/>
        </w:rPr>
        <w:t xml:space="preserve">а </w:t>
      </w:r>
      <w:bookmarkStart w:id="0" w:name="_Hlk148350637"/>
      <w:r w:rsidR="00491A35" w:rsidRPr="00491A35">
        <w:rPr>
          <w:b/>
          <w:u w:val="single"/>
        </w:rPr>
        <w:t xml:space="preserve">Директор на </w:t>
      </w:r>
      <w:r w:rsidR="005D267B" w:rsidRPr="00491A35">
        <w:rPr>
          <w:b/>
          <w:u w:val="single"/>
        </w:rPr>
        <w:t xml:space="preserve"> Служба за </w:t>
      </w:r>
      <w:r w:rsidR="00491A35" w:rsidRPr="00491A35">
        <w:rPr>
          <w:b/>
          <w:u w:val="single"/>
        </w:rPr>
        <w:t>правни работи и наплата на побарувања</w:t>
      </w:r>
      <w:bookmarkEnd w:id="0"/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1BCB96C4" w14:textId="77777777" w:rsidR="00491A35" w:rsidRDefault="00EC734E" w:rsidP="00491A35">
      <w:pPr>
        <w:jc w:val="both"/>
      </w:pPr>
      <w:r>
        <w:t xml:space="preserve">Банката вработува </w:t>
      </w:r>
      <w:r w:rsidR="00491A35" w:rsidRPr="00491A35">
        <w:rPr>
          <w:b/>
          <w:u w:val="single"/>
        </w:rPr>
        <w:t>Директор на  Служба за правни работи и наплата на побарувања</w:t>
      </w:r>
      <w:r w:rsidR="00491A35">
        <w:t xml:space="preserve"> </w:t>
      </w:r>
    </w:p>
    <w:p w14:paraId="35F61621" w14:textId="717CC02E" w:rsidR="00667818" w:rsidRPr="00121837" w:rsidRDefault="00667818" w:rsidP="00121837">
      <w:pPr>
        <w:pStyle w:val="ListParagraph"/>
        <w:numPr>
          <w:ilvl w:val="0"/>
          <w:numId w:val="33"/>
        </w:numPr>
        <w:jc w:val="both"/>
        <w:rPr>
          <w:u w:val="single"/>
        </w:rPr>
      </w:pPr>
      <w:r w:rsidRPr="00121837">
        <w:rPr>
          <w:u w:val="single"/>
        </w:rPr>
        <w:t xml:space="preserve">Дел од работните задачи на </w:t>
      </w:r>
      <w:r w:rsidR="0053134F" w:rsidRPr="00121837">
        <w:rPr>
          <w:bCs/>
          <w:u w:val="single"/>
        </w:rPr>
        <w:t>Директорт на  Служба за правни работи и наплата на побарувања</w:t>
      </w:r>
      <w:r w:rsidRPr="00121837">
        <w:rPr>
          <w:u w:val="single"/>
        </w:rPr>
        <w:t xml:space="preserve"> се следните:</w:t>
      </w:r>
    </w:p>
    <w:p w14:paraId="6CCAAA11" w14:textId="738B7713" w:rsidR="00121837" w:rsidRPr="00121837" w:rsidRDefault="00121837" w:rsidP="00121837">
      <w:pPr>
        <w:numPr>
          <w:ilvl w:val="0"/>
          <w:numId w:val="2"/>
        </w:numPr>
        <w:tabs>
          <w:tab w:val="left" w:pos="-1800"/>
          <w:tab w:val="left" w:pos="600"/>
          <w:tab w:val="left" w:pos="720"/>
        </w:tabs>
        <w:spacing w:after="0" w:line="240" w:lineRule="auto"/>
        <w:ind w:left="600" w:hanging="180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Ги гради знаењата и вештините на вработените во Службата и применува процедури за контрола на квалитетот во однос на извршената работа</w:t>
      </w:r>
      <w:r>
        <w:rPr>
          <w:rFonts w:eastAsia="Times New Roman" w:cs="Arial"/>
          <w:lang w:val="en-US" w:eastAsia="en-GB"/>
          <w14:ligatures w14:val="standardContextual"/>
        </w:rPr>
        <w:t>;</w:t>
      </w:r>
    </w:p>
    <w:p w14:paraId="35EB4563" w14:textId="437AF4F0" w:rsidR="00121837" w:rsidRPr="00121837" w:rsidRDefault="00121837" w:rsidP="00121837">
      <w:pPr>
        <w:numPr>
          <w:ilvl w:val="0"/>
          <w:numId w:val="2"/>
        </w:numPr>
        <w:tabs>
          <w:tab w:val="left" w:pos="-1800"/>
          <w:tab w:val="left" w:pos="600"/>
          <w:tab w:val="left" w:pos="720"/>
        </w:tabs>
        <w:spacing w:after="0" w:line="240" w:lineRule="auto"/>
        <w:ind w:left="600" w:hanging="180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Ја развива и унапредува методологијата на работа во рамките на својата надлежност</w:t>
      </w:r>
      <w:r>
        <w:rPr>
          <w:rFonts w:eastAsia="Times New Roman" w:cs="Arial"/>
          <w:lang w:val="en-US" w:eastAsia="en-GB"/>
          <w14:ligatures w14:val="standardContextual"/>
        </w:rPr>
        <w:t>;</w:t>
      </w:r>
    </w:p>
    <w:p w14:paraId="1DD1C082" w14:textId="06021BCD" w:rsidR="00121837" w:rsidRPr="00121837" w:rsidRDefault="00121837" w:rsidP="00121837">
      <w:pPr>
        <w:numPr>
          <w:ilvl w:val="0"/>
          <w:numId w:val="2"/>
        </w:numPr>
        <w:tabs>
          <w:tab w:val="left" w:pos="-1800"/>
          <w:tab w:val="left" w:pos="600"/>
        </w:tabs>
        <w:spacing w:after="0" w:line="240" w:lineRule="auto"/>
        <w:ind w:left="600" w:hanging="180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Се грижи за избегнување на судир на интереси при исполнувањето на своите одговорности, при што треба да остане независен, и има неограничен пристап до сите податоци и информации потребни за исполнување на обврските</w:t>
      </w:r>
      <w:r>
        <w:rPr>
          <w:rFonts w:eastAsia="Times New Roman" w:cs="Arial"/>
          <w:lang w:val="en-US" w:eastAsia="en-GB"/>
          <w14:ligatures w14:val="standardContextual"/>
        </w:rPr>
        <w:t>;</w:t>
      </w:r>
      <w:r w:rsidRPr="00121837">
        <w:rPr>
          <w:rFonts w:eastAsia="Times New Roman" w:cs="Arial"/>
          <w:lang w:eastAsia="en-GB"/>
          <w14:ligatures w14:val="standardContextual"/>
        </w:rPr>
        <w:t xml:space="preserve"> </w:t>
      </w:r>
    </w:p>
    <w:p w14:paraId="12D2F107" w14:textId="54DFBFED" w:rsidR="00121837" w:rsidRPr="00121837" w:rsidRDefault="00121837" w:rsidP="00121837">
      <w:pPr>
        <w:numPr>
          <w:ilvl w:val="0"/>
          <w:numId w:val="2"/>
        </w:numPr>
        <w:tabs>
          <w:tab w:val="left" w:pos="-1800"/>
          <w:tab w:val="left" w:pos="600"/>
        </w:tabs>
        <w:spacing w:after="0" w:line="240" w:lineRule="auto"/>
        <w:ind w:left="600" w:hanging="180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Одржува работно познавање на соодветните прашања, закони и подзаконски акти, правилата и добрата банкарска практика</w:t>
      </w:r>
      <w:r>
        <w:rPr>
          <w:rFonts w:eastAsia="Times New Roman" w:cs="Arial"/>
          <w:lang w:val="en-US" w:eastAsia="en-GB"/>
          <w14:ligatures w14:val="standardContextual"/>
        </w:rPr>
        <w:t>;</w:t>
      </w:r>
    </w:p>
    <w:p w14:paraId="41755D0E" w14:textId="7DCAAE29" w:rsidR="00121837" w:rsidRPr="00121837" w:rsidRDefault="00121837" w:rsidP="00121837">
      <w:pPr>
        <w:numPr>
          <w:ilvl w:val="0"/>
          <w:numId w:val="2"/>
        </w:numPr>
        <w:tabs>
          <w:tab w:val="left" w:pos="-1800"/>
          <w:tab w:val="left" w:pos="600"/>
        </w:tabs>
        <w:spacing w:after="0" w:line="240" w:lineRule="auto"/>
        <w:ind w:left="600" w:hanging="180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Се грижи за спроведувањето на ревизорските наоди и препораки за сите работи под негова / нејзина одговорност</w:t>
      </w:r>
      <w:r>
        <w:rPr>
          <w:rFonts w:eastAsia="Times New Roman" w:cs="Arial"/>
          <w:lang w:val="en-US" w:eastAsia="en-GB"/>
          <w14:ligatures w14:val="standardContextual"/>
        </w:rPr>
        <w:t>;</w:t>
      </w:r>
    </w:p>
    <w:p w14:paraId="6A483348" w14:textId="2441E482" w:rsidR="00121837" w:rsidRPr="00121837" w:rsidRDefault="00121837" w:rsidP="00121837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Го организира и управува процесот на утврдување, оценка и управување со правниот ризик на дневна основа на кој банката може да биде изложена</w:t>
      </w:r>
      <w:r>
        <w:rPr>
          <w:rFonts w:eastAsia="Times New Roman" w:cs="Arial"/>
          <w:lang w:val="en-US" w:eastAsia="en-GB"/>
          <w14:ligatures w14:val="standardContextual"/>
        </w:rPr>
        <w:t>;</w:t>
      </w:r>
    </w:p>
    <w:p w14:paraId="6EE45301" w14:textId="77777777" w:rsidR="00121837" w:rsidRPr="00121837" w:rsidRDefault="00121837" w:rsidP="00121837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Го организира и управува со процесот на управување со нефункционалните кредити, вклучително и процесот на присилна наплата и ги координира надворешните активности поврзани со присилна наплата (доколку ги има);</w:t>
      </w:r>
    </w:p>
    <w:p w14:paraId="48514540" w14:textId="51CE3307" w:rsidR="00121837" w:rsidRPr="00121837" w:rsidRDefault="00121837" w:rsidP="00121837">
      <w:pPr>
        <w:numPr>
          <w:ilvl w:val="0"/>
          <w:numId w:val="31"/>
        </w:numPr>
        <w:spacing w:after="0" w:line="240" w:lineRule="auto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Ја организира и управува оценката на соодветноста на внатрешните политики, процедури и практики што се применуваат во единиците на Банката од правен аспект. Во оваа смисла го организира и координира процесот на подготовка на стандардизирани договори и останати документи за сите услуги и производи кои ги нуди Банката на своите клиенти</w:t>
      </w:r>
      <w:r>
        <w:rPr>
          <w:rFonts w:eastAsia="Times New Roman" w:cs="Arial"/>
          <w:lang w:val="en-US" w:eastAsia="en-GB"/>
          <w14:ligatures w14:val="standardContextual"/>
        </w:rPr>
        <w:t>;</w:t>
      </w:r>
    </w:p>
    <w:p w14:paraId="70DA73B3" w14:textId="6E886E21" w:rsidR="00121837" w:rsidRPr="00121837" w:rsidRDefault="00121837" w:rsidP="00121837">
      <w:pPr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rFonts w:eastAsia="Times New Roman" w:cs="Arial"/>
          <w:iCs/>
          <w:lang w:eastAsia="en-GB"/>
          <w14:ligatures w14:val="standardContextual"/>
        </w:rPr>
      </w:pPr>
      <w:r w:rsidRPr="00121837">
        <w:rPr>
          <w:rFonts w:eastAsia="Times New Roman" w:cs="Arial"/>
          <w:iCs/>
          <w:lang w:eastAsia="en-GB"/>
          <w14:ligatures w14:val="standardContextual"/>
        </w:rPr>
        <w:t>Ја следи секојдневно законската и подзаконската рамка којшто може да влијае врз активностите на Банката</w:t>
      </w:r>
      <w:r>
        <w:rPr>
          <w:rFonts w:eastAsia="Times New Roman" w:cs="Arial"/>
          <w:iCs/>
          <w:lang w:val="en-US" w:eastAsia="en-GB"/>
          <w14:ligatures w14:val="standardContextual"/>
        </w:rPr>
        <w:t>;</w:t>
      </w:r>
      <w:r w:rsidRPr="00121837">
        <w:rPr>
          <w:rFonts w:eastAsia="Times New Roman" w:cs="Arial"/>
          <w:iCs/>
          <w:lang w:eastAsia="en-GB"/>
          <w14:ligatures w14:val="standardContextual"/>
        </w:rPr>
        <w:t xml:space="preserve"> </w:t>
      </w:r>
    </w:p>
    <w:p w14:paraId="079596DD" w14:textId="740A4617" w:rsidR="00121837" w:rsidRPr="00121837" w:rsidRDefault="00121837" w:rsidP="00121837">
      <w:pPr>
        <w:numPr>
          <w:ilvl w:val="0"/>
          <w:numId w:val="29"/>
        </w:numPr>
        <w:tabs>
          <w:tab w:val="left" w:pos="720"/>
        </w:tabs>
        <w:spacing w:after="0" w:line="240" w:lineRule="auto"/>
        <w:jc w:val="both"/>
        <w:rPr>
          <w:rFonts w:eastAsia="Times New Roman" w:cs="Arial"/>
          <w:iCs/>
          <w:lang w:eastAsia="en-GB"/>
          <w14:ligatures w14:val="standardContextual"/>
        </w:rPr>
      </w:pPr>
      <w:r w:rsidRPr="00121837">
        <w:rPr>
          <w:rFonts w:eastAsia="Times New Roman" w:cs="Arial"/>
          <w:iCs/>
          <w:lang w:eastAsia="en-GB"/>
          <w14:ligatures w14:val="standardContextual"/>
        </w:rPr>
        <w:t>Врши оценка на усогласувања на аутсорсираните активности со регулаторна рамка којашто е во сила на договорите со надворешни лица од својата област</w:t>
      </w:r>
      <w:r>
        <w:rPr>
          <w:rFonts w:eastAsia="Times New Roman" w:cs="Arial"/>
          <w:iCs/>
          <w:lang w:val="en-US" w:eastAsia="en-GB"/>
          <w14:ligatures w14:val="standardContextual"/>
        </w:rPr>
        <w:t>;</w:t>
      </w:r>
    </w:p>
    <w:p w14:paraId="10C94114" w14:textId="492FD4CB" w:rsidR="00121837" w:rsidRPr="00121837" w:rsidRDefault="00121837" w:rsidP="00121837">
      <w:pPr>
        <w:numPr>
          <w:ilvl w:val="0"/>
          <w:numId w:val="30"/>
        </w:numPr>
        <w:tabs>
          <w:tab w:val="left" w:pos="720"/>
        </w:tabs>
        <w:spacing w:after="0" w:line="240" w:lineRule="auto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>Го следи процесот на обелоденување на доверливи информации пред трети страни, од службата,  со исклучок на  вработените од спречување перење пари и од усогласување со прописи</w:t>
      </w:r>
      <w:r>
        <w:rPr>
          <w:rFonts w:eastAsia="Times New Roman" w:cs="Arial"/>
          <w:lang w:val="en-US" w:eastAsia="en-GB"/>
          <w14:ligatures w14:val="standardContextual"/>
        </w:rPr>
        <w:t>;</w:t>
      </w:r>
    </w:p>
    <w:p w14:paraId="13D256DD" w14:textId="4B035413" w:rsidR="00121837" w:rsidRPr="00121837" w:rsidRDefault="00121837" w:rsidP="00121837">
      <w:pPr>
        <w:numPr>
          <w:ilvl w:val="0"/>
          <w:numId w:val="30"/>
        </w:numPr>
        <w:tabs>
          <w:tab w:val="left" w:pos="720"/>
        </w:tabs>
        <w:spacing w:after="0" w:line="240" w:lineRule="auto"/>
        <w:jc w:val="both"/>
        <w:rPr>
          <w:rFonts w:eastAsia="Times New Roman" w:cs="Arial"/>
          <w:lang w:eastAsia="en-GB"/>
          <w14:ligatures w14:val="standardContextual"/>
        </w:rPr>
      </w:pPr>
      <w:r w:rsidRPr="00121837">
        <w:rPr>
          <w:rFonts w:eastAsia="Times New Roman" w:cs="Arial"/>
          <w:lang w:eastAsia="en-GB"/>
          <w14:ligatures w14:val="standardContextual"/>
        </w:rPr>
        <w:t xml:space="preserve">Ги разгледува сите информации во поглед на сите материјални инциденти кои се однесуваат на сите ревизорски наоди и извештаи без разлика дали се внатрешни или надворешни, кои целосно или делумно се однесуваат на прашања од областа на Службата </w:t>
      </w:r>
      <w:r>
        <w:rPr>
          <w:rFonts w:eastAsia="Times New Roman" w:cs="Arial"/>
          <w:lang w:val="en-US" w:eastAsia="en-GB"/>
          <w14:ligatures w14:val="standardContextual"/>
        </w:rPr>
        <w:t>;</w:t>
      </w:r>
    </w:p>
    <w:p w14:paraId="075B116A" w14:textId="6C07D520" w:rsidR="00121837" w:rsidRPr="00121837" w:rsidRDefault="00121837" w:rsidP="00121837">
      <w:pPr>
        <w:numPr>
          <w:ilvl w:val="0"/>
          <w:numId w:val="30"/>
        </w:numPr>
        <w:tabs>
          <w:tab w:val="left" w:pos="720"/>
        </w:tabs>
        <w:spacing w:after="0" w:line="240" w:lineRule="auto"/>
        <w:rPr>
          <w:rFonts w:eastAsiaTheme="majorEastAsia" w:cs="Arial"/>
          <w:lang w:bidi="en-US"/>
          <w14:ligatures w14:val="standardContextual"/>
        </w:rPr>
      </w:pPr>
      <w:r w:rsidRPr="00121837">
        <w:rPr>
          <w:rFonts w:eastAsia="Times New Roman" w:cs="Arial"/>
          <w:lang w:bidi="en-US"/>
          <w14:ligatures w14:val="standardContextual"/>
        </w:rPr>
        <w:t>Се грижи да се воспостави системот за управување со правни работи за негово функционирање и дополнителен разво</w:t>
      </w:r>
      <w:r w:rsidR="00FC1477">
        <w:rPr>
          <w:rFonts w:eastAsia="Times New Roman" w:cs="Arial"/>
          <w:lang w:bidi="en-US"/>
          <w14:ligatures w14:val="standardContextual"/>
        </w:rPr>
        <w:t>ј</w:t>
      </w:r>
      <w:r w:rsidR="00FC1477">
        <w:rPr>
          <w:rFonts w:eastAsia="Times New Roman" w:cs="Arial"/>
          <w:lang w:val="en-US" w:bidi="en-US"/>
          <w14:ligatures w14:val="standardContextual"/>
        </w:rPr>
        <w:t>;</w:t>
      </w:r>
    </w:p>
    <w:p w14:paraId="4BB7BAAB" w14:textId="5B18B7EA" w:rsidR="00121837" w:rsidRDefault="00121837" w:rsidP="00121837">
      <w:pPr>
        <w:numPr>
          <w:ilvl w:val="0"/>
          <w:numId w:val="32"/>
        </w:numPr>
        <w:spacing w:after="0" w:line="240" w:lineRule="auto"/>
        <w:rPr>
          <w:rFonts w:eastAsia="Times New Roman" w:cs="Arial"/>
          <w:lang w:bidi="en-US"/>
          <w14:ligatures w14:val="standardContextual"/>
        </w:rPr>
      </w:pPr>
      <w:r w:rsidRPr="00121837">
        <w:rPr>
          <w:rFonts w:eastAsia="Times New Roman" w:cs="Arial"/>
          <w:lang w:bidi="en-US"/>
          <w14:ligatures w14:val="standardContextual"/>
        </w:rPr>
        <w:t>Соработува  со останатите служби на Банката од кои главно потекнуваат соодветните ризици, им ги бара и добива потребните информации за прашањата кои се во негова одговорност</w:t>
      </w:r>
      <w:r>
        <w:rPr>
          <w:rFonts w:eastAsia="Times New Roman" w:cs="Arial"/>
          <w:lang w:val="en-US" w:bidi="en-US"/>
          <w14:ligatures w14:val="standardContextual"/>
        </w:rPr>
        <w:t>;</w:t>
      </w:r>
      <w:r w:rsidRPr="00121837">
        <w:rPr>
          <w:rFonts w:eastAsia="Times New Roman" w:cs="Arial"/>
          <w:lang w:bidi="en-US"/>
          <w14:ligatures w14:val="standardContextual"/>
        </w:rPr>
        <w:t xml:space="preserve"> </w:t>
      </w:r>
    </w:p>
    <w:p w14:paraId="7E825D74" w14:textId="62A3E2F7" w:rsidR="00121837" w:rsidRPr="00121837" w:rsidRDefault="00121837" w:rsidP="00121837">
      <w:pPr>
        <w:numPr>
          <w:ilvl w:val="0"/>
          <w:numId w:val="32"/>
        </w:numPr>
        <w:tabs>
          <w:tab w:val="left" w:pos="-1800"/>
          <w:tab w:val="left" w:pos="600"/>
        </w:tabs>
        <w:spacing w:after="0"/>
        <w:jc w:val="both"/>
        <w:rPr>
          <w:rFonts w:cs="Arial"/>
        </w:rPr>
      </w:pPr>
      <w:r w:rsidRPr="00FF75C4">
        <w:rPr>
          <w:rFonts w:cs="Arial"/>
        </w:rPr>
        <w:lastRenderedPageBreak/>
        <w:t>Одговорен е за комуникацијата на Банката со регулаторните тела од чијашто регулаторна рамка потекнува, особено во однос на државните органи надлежни за надзор на финансискиот системот, за прашања од негова одговорност.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4A468C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6814E57" w14:textId="542701D0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5B24D4">
        <w:rPr>
          <w:rFonts w:cs="Arial"/>
          <w:color w:val="000000"/>
          <w:lang w:eastAsia="sr-Latn-CS"/>
        </w:rPr>
        <w:t xml:space="preserve">Универзитетска диплома, </w:t>
      </w:r>
      <w:r w:rsidR="00F9040D">
        <w:rPr>
          <w:rFonts w:cs="Arial"/>
          <w:color w:val="000000"/>
          <w:lang w:eastAsia="sr-Latn-CS"/>
        </w:rPr>
        <w:t>пожелно правни науки</w:t>
      </w:r>
      <w:r w:rsidR="00F9040D">
        <w:rPr>
          <w:rFonts w:cs="Arial"/>
          <w:color w:val="000000"/>
          <w:lang w:val="en-US" w:eastAsia="sr-Latn-CS"/>
        </w:rPr>
        <w:t>;</w:t>
      </w:r>
    </w:p>
    <w:p w14:paraId="4B1B29E4" w14:textId="0DAAEC24" w:rsidR="004A468C" w:rsidRPr="005B24D4" w:rsidRDefault="006E55C3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Минимум </w:t>
      </w:r>
      <w:r w:rsidR="004A468C">
        <w:rPr>
          <w:rFonts w:cs="Arial"/>
        </w:rPr>
        <w:t>3</w:t>
      </w:r>
      <w:r w:rsidR="004A468C" w:rsidRPr="005B24D4">
        <w:rPr>
          <w:rFonts w:cs="Arial"/>
        </w:rPr>
        <w:t xml:space="preserve"> </w:t>
      </w:r>
      <w:r w:rsidR="00F9040D">
        <w:rPr>
          <w:rFonts w:cs="Arial"/>
        </w:rPr>
        <w:t xml:space="preserve">– 5 </w:t>
      </w:r>
      <w:r w:rsidR="004A468C" w:rsidRPr="005B24D4">
        <w:rPr>
          <w:rFonts w:cs="Arial"/>
        </w:rPr>
        <w:t>годин</w:t>
      </w:r>
      <w:r w:rsidR="004A468C">
        <w:rPr>
          <w:rFonts w:cs="Arial"/>
        </w:rPr>
        <w:t>и</w:t>
      </w:r>
      <w:r w:rsidR="004A468C" w:rsidRPr="005B24D4">
        <w:rPr>
          <w:rFonts w:cs="Arial"/>
        </w:rPr>
        <w:t xml:space="preserve"> искуство, по можност во банкарство или друг финансиски сектор</w:t>
      </w:r>
      <w:r>
        <w:rPr>
          <w:rFonts w:cs="Arial"/>
        </w:rPr>
        <w:t>;</w:t>
      </w:r>
    </w:p>
    <w:p w14:paraId="70FFA163" w14:textId="777D74AE" w:rsidR="00F9040D" w:rsidRPr="00FF75C4" w:rsidRDefault="00F9040D" w:rsidP="00F9040D">
      <w:pPr>
        <w:numPr>
          <w:ilvl w:val="0"/>
          <w:numId w:val="18"/>
        </w:numPr>
        <w:tabs>
          <w:tab w:val="left" w:pos="-1800"/>
          <w:tab w:val="left" w:pos="600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  </w:t>
      </w:r>
      <w:r w:rsidRPr="00FF75C4">
        <w:rPr>
          <w:rFonts w:cs="Arial"/>
        </w:rPr>
        <w:t>Соодветни познавање на законите и подзаконските акти</w:t>
      </w:r>
      <w:r>
        <w:rPr>
          <w:rFonts w:cs="Arial"/>
          <w:lang w:val="en-US"/>
        </w:rPr>
        <w:t>;</w:t>
      </w:r>
    </w:p>
    <w:p w14:paraId="34F18F90" w14:textId="5E5483D1" w:rsidR="00F9040D" w:rsidRPr="00FF75C4" w:rsidRDefault="00F9040D" w:rsidP="00F9040D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FF75C4">
        <w:rPr>
          <w:rFonts w:cs="Arial"/>
        </w:rPr>
        <w:t>Искуство во спроведувањето на законите, струковите правила и добрата банкарска пракса</w:t>
      </w:r>
      <w:r>
        <w:rPr>
          <w:rFonts w:cs="Arial"/>
          <w:lang w:val="en-US"/>
        </w:rPr>
        <w:t>;</w:t>
      </w:r>
    </w:p>
    <w:p w14:paraId="79ACFD45" w14:textId="0598A220" w:rsidR="004A468C" w:rsidRPr="00E7541A" w:rsidRDefault="00F9040D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Пожелно </w:t>
      </w:r>
      <w:r w:rsidR="00121837">
        <w:rPr>
          <w:rFonts w:cs="Arial"/>
        </w:rPr>
        <w:t xml:space="preserve">положен </w:t>
      </w:r>
      <w:r>
        <w:rPr>
          <w:rFonts w:cs="Arial"/>
        </w:rPr>
        <w:t>правосуден испит</w:t>
      </w:r>
      <w:r>
        <w:rPr>
          <w:rFonts w:cs="Arial"/>
          <w:lang w:val="en-US"/>
        </w:rPr>
        <w:t>;</w:t>
      </w:r>
    </w:p>
    <w:p w14:paraId="7C7D2F08" w14:textId="6960DCA0" w:rsidR="004A468C" w:rsidRPr="00E7541A" w:rsidRDefault="00F9040D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Општо п</w:t>
      </w:r>
      <w:r w:rsidR="004A468C" w:rsidRPr="00E7541A">
        <w:rPr>
          <w:rFonts w:cs="Arial"/>
        </w:rPr>
        <w:t xml:space="preserve">ознавање </w:t>
      </w:r>
      <w:r w:rsidRPr="00FF75C4">
        <w:rPr>
          <w:rFonts w:cs="Arial"/>
        </w:rPr>
        <w:t>за најдобрите безбедносни практики и безбедносни стандарди</w:t>
      </w:r>
      <w:r w:rsidR="004A468C" w:rsidRPr="00E7541A">
        <w:rPr>
          <w:rFonts w:cs="Arial"/>
        </w:rPr>
        <w:t>;</w:t>
      </w:r>
    </w:p>
    <w:p w14:paraId="2CB74F4A" w14:textId="77777777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667E0322" w14:textId="2DC6B869" w:rsidR="0053134F" w:rsidRPr="0053134F" w:rsidRDefault="0053134F" w:rsidP="0053134F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FF75C4">
        <w:rPr>
          <w:rFonts w:cs="Arial"/>
        </w:rPr>
        <w:t>Знаење поврзано со спречување на измами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6D08314C" w14:textId="77777777" w:rsidR="0053134F" w:rsidRPr="00FF75C4" w:rsidRDefault="0053134F" w:rsidP="0053134F">
      <w:pPr>
        <w:numPr>
          <w:ilvl w:val="0"/>
          <w:numId w:val="18"/>
        </w:numPr>
        <w:tabs>
          <w:tab w:val="left" w:pos="810"/>
        </w:tabs>
        <w:spacing w:after="0"/>
        <w:rPr>
          <w:rFonts w:cs="Arial"/>
          <w:lang w:bidi="en-US"/>
        </w:rPr>
      </w:pPr>
      <w:r w:rsidRPr="00FF75C4">
        <w:rPr>
          <w:rFonts w:cs="Arial"/>
          <w:lang w:bidi="en-US"/>
        </w:rPr>
        <w:t>Одлични менаџерски и лидерски вештини</w:t>
      </w:r>
    </w:p>
    <w:p w14:paraId="20AB3891" w14:textId="77FADAB8" w:rsidR="0053134F" w:rsidRPr="0053134F" w:rsidRDefault="0053134F" w:rsidP="0053134F">
      <w:pPr>
        <w:numPr>
          <w:ilvl w:val="0"/>
          <w:numId w:val="18"/>
        </w:numPr>
        <w:tabs>
          <w:tab w:val="left" w:pos="810"/>
        </w:tabs>
        <w:spacing w:after="0"/>
        <w:rPr>
          <w:rFonts w:cs="Arial"/>
          <w:lang w:bidi="en-US"/>
        </w:rPr>
      </w:pPr>
      <w:r w:rsidRPr="00FF75C4">
        <w:rPr>
          <w:rFonts w:cs="Arial"/>
          <w:lang w:bidi="en-US"/>
        </w:rPr>
        <w:t xml:space="preserve">Соодветни стручни и лични особини </w:t>
      </w:r>
    </w:p>
    <w:p w14:paraId="5A44FB09" w14:textId="72E067C1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t>Добри организациски</w:t>
      </w:r>
      <w:r w:rsidRPr="004A468C">
        <w:rPr>
          <w:rFonts w:cs="Arial"/>
          <w:color w:val="000000"/>
        </w:rPr>
        <w:t xml:space="preserve"> </w:t>
      </w:r>
      <w:r w:rsidR="005B6DD2" w:rsidRPr="004A468C">
        <w:rPr>
          <w:rFonts w:cs="Arial"/>
          <w:color w:val="000000"/>
        </w:rPr>
        <w:t xml:space="preserve">и комуникациски </w:t>
      </w:r>
      <w:r w:rsidRPr="004A468C">
        <w:rPr>
          <w:rFonts w:cs="Arial"/>
          <w:color w:val="000000"/>
        </w:rPr>
        <w:t>вештини</w:t>
      </w:r>
      <w:r w:rsidR="004A468C">
        <w:rPr>
          <w:rFonts w:cs="Arial"/>
          <w:color w:val="000000"/>
        </w:rPr>
        <w:t>;</w:t>
      </w:r>
    </w:p>
    <w:p w14:paraId="4428A8AF" w14:textId="77777777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Добри преговарачки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30571E8C" w14:textId="255F3FD2" w:rsidR="004A468C" w:rsidRPr="005B24D4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Флексибилност</w:t>
      </w:r>
      <w:r>
        <w:rPr>
          <w:rFonts w:cs="Arial"/>
          <w:color w:val="000000"/>
        </w:rPr>
        <w:t>;</w:t>
      </w:r>
    </w:p>
    <w:p w14:paraId="193BB3CF" w14:textId="52201642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Иницијативност</w:t>
      </w:r>
      <w:r>
        <w:rPr>
          <w:rFonts w:cs="Arial"/>
          <w:color w:val="000000"/>
        </w:rPr>
        <w:t>;</w:t>
      </w:r>
    </w:p>
    <w:p w14:paraId="25F93A65" w14:textId="050BB31B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0DBEF0B5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6E55C3" w:rsidRPr="00793D6A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6E55C3" w:rsidRPr="00793D6A">
          <w:rPr>
            <w:rStyle w:val="Hyperlink"/>
            <w:rFonts w:cs="Arial"/>
            <w:shd w:val="clear" w:color="auto" w:fill="FFFFFF"/>
          </w:rPr>
          <w:t>@s</w:t>
        </w:r>
        <w:r w:rsidR="006E55C3" w:rsidRPr="00793D6A">
          <w:rPr>
            <w:rStyle w:val="Hyperlink"/>
            <w:rFonts w:cs="Arial"/>
            <w:shd w:val="clear" w:color="auto" w:fill="FFFFFF"/>
            <w:lang w:val="en-US"/>
          </w:rPr>
          <w:t>rb</w:t>
        </w:r>
        <w:r w:rsidR="006E55C3" w:rsidRPr="00793D6A">
          <w:rPr>
            <w:rStyle w:val="Hyperlink"/>
            <w:rFonts w:cs="Arial"/>
            <w:shd w:val="clear" w:color="auto" w:fill="FFFFFF"/>
          </w:rPr>
          <w:t>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53134F">
        <w:rPr>
          <w:b/>
        </w:rPr>
        <w:t>директор на Служба за правни работи и наплата на побарувања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 w:rsidRPr="00102261">
        <w:rPr>
          <w:rFonts w:cs="Arial"/>
          <w:b/>
          <w:bCs/>
          <w:shd w:val="clear" w:color="auto" w:fill="FFFFFF"/>
        </w:rPr>
        <w:t xml:space="preserve">најдоцна до </w:t>
      </w:r>
      <w:r w:rsidR="0053134F">
        <w:rPr>
          <w:rFonts w:cs="Arial"/>
          <w:b/>
          <w:bCs/>
          <w:shd w:val="clear" w:color="auto" w:fill="FFFFFF"/>
        </w:rPr>
        <w:t>2</w:t>
      </w:r>
      <w:r w:rsidR="00C64C57">
        <w:rPr>
          <w:rFonts w:cs="Arial"/>
          <w:b/>
          <w:bCs/>
          <w:shd w:val="clear" w:color="auto" w:fill="FFFFFF"/>
        </w:rPr>
        <w:t>5</w:t>
      </w:r>
      <w:r w:rsidRPr="00102261">
        <w:rPr>
          <w:rFonts w:cs="Arial"/>
          <w:b/>
          <w:bCs/>
          <w:shd w:val="clear" w:color="auto" w:fill="FFFFFF"/>
        </w:rPr>
        <w:t>.</w:t>
      </w:r>
      <w:r w:rsidR="006E55C3" w:rsidRPr="00102261">
        <w:rPr>
          <w:rFonts w:cs="Arial"/>
          <w:b/>
          <w:bCs/>
          <w:shd w:val="clear" w:color="auto" w:fill="FFFFFF"/>
          <w:lang w:val="en-US"/>
        </w:rPr>
        <w:t>10</w:t>
      </w:r>
      <w:r w:rsidRPr="00102261">
        <w:rPr>
          <w:rFonts w:cs="Arial"/>
          <w:b/>
          <w:bCs/>
          <w:shd w:val="clear" w:color="auto" w:fill="FFFFFF"/>
        </w:rPr>
        <w:t>.202</w:t>
      </w:r>
      <w:r w:rsidR="00C85C62" w:rsidRPr="00102261">
        <w:rPr>
          <w:rFonts w:cs="Arial"/>
          <w:b/>
          <w:bCs/>
          <w:shd w:val="clear" w:color="auto" w:fill="FFFFFF"/>
        </w:rPr>
        <w:t>3</w:t>
      </w:r>
      <w:r w:rsidRPr="00102261">
        <w:rPr>
          <w:rFonts w:cs="Arial"/>
          <w:b/>
          <w:bCs/>
          <w:shd w:val="clear" w:color="auto" w:fill="FFFFFF"/>
        </w:rPr>
        <w:t xml:space="preserve"> година</w:t>
      </w:r>
      <w:r>
        <w:rPr>
          <w:rFonts w:cs="Arial"/>
          <w:shd w:val="clear" w:color="auto" w:fill="FFFFFF"/>
        </w:rPr>
        <w:t>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63EB"/>
    <w:multiLevelType w:val="hybridMultilevel"/>
    <w:tmpl w:val="DF80F62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89E"/>
    <w:multiLevelType w:val="hybridMultilevel"/>
    <w:tmpl w:val="065AE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AE169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6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2" w15:restartNumberingAfterBreak="0">
    <w:nsid w:val="3E6144FA"/>
    <w:multiLevelType w:val="hybridMultilevel"/>
    <w:tmpl w:val="E24E6D0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B5488"/>
    <w:multiLevelType w:val="hybridMultilevel"/>
    <w:tmpl w:val="208CEC88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D209F"/>
    <w:multiLevelType w:val="hybridMultilevel"/>
    <w:tmpl w:val="48FC5C3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0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F6B77"/>
    <w:multiLevelType w:val="hybridMultilevel"/>
    <w:tmpl w:val="31C0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5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5514D1"/>
    <w:multiLevelType w:val="hybridMultilevel"/>
    <w:tmpl w:val="D6BC948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5060B"/>
    <w:multiLevelType w:val="hybridMultilevel"/>
    <w:tmpl w:val="18C6A3AA"/>
    <w:lvl w:ilvl="0" w:tplc="5EBA75F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  <w:sz w:val="20"/>
        <w:szCs w:val="20"/>
        <w:lang w:val="el-G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000009">
    <w:abstractNumId w:val="29"/>
  </w:num>
  <w:num w:numId="2" w16cid:durableId="1900089005">
    <w:abstractNumId w:val="5"/>
  </w:num>
  <w:num w:numId="3" w16cid:durableId="195437115">
    <w:abstractNumId w:val="13"/>
  </w:num>
  <w:num w:numId="4" w16cid:durableId="766968484">
    <w:abstractNumId w:val="8"/>
  </w:num>
  <w:num w:numId="5" w16cid:durableId="1138380454">
    <w:abstractNumId w:val="6"/>
  </w:num>
  <w:num w:numId="6" w16cid:durableId="1314946205">
    <w:abstractNumId w:val="0"/>
  </w:num>
  <w:num w:numId="7" w16cid:durableId="646980359">
    <w:abstractNumId w:val="19"/>
  </w:num>
  <w:num w:numId="8" w16cid:durableId="1926769558">
    <w:abstractNumId w:val="24"/>
  </w:num>
  <w:num w:numId="9" w16cid:durableId="692148897">
    <w:abstractNumId w:val="28"/>
  </w:num>
  <w:num w:numId="10" w16cid:durableId="97452819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20"/>
  </w:num>
  <w:num w:numId="12" w16cid:durableId="1989625154">
    <w:abstractNumId w:val="0"/>
  </w:num>
  <w:num w:numId="13" w16cid:durableId="1289432212">
    <w:abstractNumId w:val="25"/>
  </w:num>
  <w:num w:numId="14" w16cid:durableId="463037291">
    <w:abstractNumId w:val="11"/>
  </w:num>
  <w:num w:numId="15" w16cid:durableId="2067484554">
    <w:abstractNumId w:val="7"/>
  </w:num>
  <w:num w:numId="16" w16cid:durableId="1795441234">
    <w:abstractNumId w:val="18"/>
  </w:num>
  <w:num w:numId="17" w16cid:durableId="889995032">
    <w:abstractNumId w:val="9"/>
  </w:num>
  <w:num w:numId="18" w16cid:durableId="1668047968">
    <w:abstractNumId w:val="1"/>
  </w:num>
  <w:num w:numId="19" w16cid:durableId="1563759495">
    <w:abstractNumId w:val="23"/>
  </w:num>
  <w:num w:numId="20" w16cid:durableId="1383938846">
    <w:abstractNumId w:val="21"/>
  </w:num>
  <w:num w:numId="21" w16cid:durableId="224224371">
    <w:abstractNumId w:val="26"/>
  </w:num>
  <w:num w:numId="22" w16cid:durableId="1451629429">
    <w:abstractNumId w:val="3"/>
  </w:num>
  <w:num w:numId="23" w16cid:durableId="1254120803">
    <w:abstractNumId w:val="17"/>
  </w:num>
  <w:num w:numId="24" w16cid:durableId="1088889642">
    <w:abstractNumId w:val="10"/>
  </w:num>
  <w:num w:numId="25" w16cid:durableId="510805167">
    <w:abstractNumId w:val="14"/>
  </w:num>
  <w:num w:numId="26" w16cid:durableId="1211066214">
    <w:abstractNumId w:val="4"/>
  </w:num>
  <w:num w:numId="27" w16cid:durableId="1998455363">
    <w:abstractNumId w:val="16"/>
  </w:num>
  <w:num w:numId="28" w16cid:durableId="1199127188">
    <w:abstractNumId w:val="30"/>
  </w:num>
  <w:num w:numId="29" w16cid:durableId="1480922235">
    <w:abstractNumId w:val="27"/>
  </w:num>
  <w:num w:numId="30" w16cid:durableId="1026560455">
    <w:abstractNumId w:val="15"/>
  </w:num>
  <w:num w:numId="31" w16cid:durableId="1651203794">
    <w:abstractNumId w:val="12"/>
  </w:num>
  <w:num w:numId="32" w16cid:durableId="1748068959">
    <w:abstractNumId w:val="22"/>
  </w:num>
  <w:num w:numId="33" w16cid:durableId="98566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701"/>
    <w:rsid w:val="00083D24"/>
    <w:rsid w:val="000873A7"/>
    <w:rsid w:val="000C4EB7"/>
    <w:rsid w:val="000D37F1"/>
    <w:rsid w:val="000D7DF6"/>
    <w:rsid w:val="000F2A54"/>
    <w:rsid w:val="0010114C"/>
    <w:rsid w:val="00102261"/>
    <w:rsid w:val="00117885"/>
    <w:rsid w:val="00121837"/>
    <w:rsid w:val="00124296"/>
    <w:rsid w:val="00132185"/>
    <w:rsid w:val="00154EE7"/>
    <w:rsid w:val="00163B67"/>
    <w:rsid w:val="001708E5"/>
    <w:rsid w:val="00196424"/>
    <w:rsid w:val="001B631D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91A35"/>
    <w:rsid w:val="004A165F"/>
    <w:rsid w:val="004A468C"/>
    <w:rsid w:val="004C6BEB"/>
    <w:rsid w:val="004E607B"/>
    <w:rsid w:val="004F4F84"/>
    <w:rsid w:val="00501F48"/>
    <w:rsid w:val="00515E84"/>
    <w:rsid w:val="0053134F"/>
    <w:rsid w:val="00532622"/>
    <w:rsid w:val="00542945"/>
    <w:rsid w:val="00563FA6"/>
    <w:rsid w:val="0056476C"/>
    <w:rsid w:val="00572AD9"/>
    <w:rsid w:val="00576500"/>
    <w:rsid w:val="00576B6A"/>
    <w:rsid w:val="005923F7"/>
    <w:rsid w:val="005A2138"/>
    <w:rsid w:val="005B6DD2"/>
    <w:rsid w:val="005D267B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5C3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B1C33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64C57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119D9"/>
    <w:rsid w:val="00F25616"/>
    <w:rsid w:val="00F371CD"/>
    <w:rsid w:val="00F37770"/>
    <w:rsid w:val="00F43A5D"/>
    <w:rsid w:val="00F9040D"/>
    <w:rsid w:val="00FA0FDC"/>
    <w:rsid w:val="00FA3680"/>
    <w:rsid w:val="00FC1477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5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6</cp:revision>
  <cp:lastPrinted>2018-10-31T10:33:00Z</cp:lastPrinted>
  <dcterms:created xsi:type="dcterms:W3CDTF">2023-10-16T10:11:00Z</dcterms:created>
  <dcterms:modified xsi:type="dcterms:W3CDTF">2023-10-17T07:28:00Z</dcterms:modified>
</cp:coreProperties>
</file>