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8814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42246AD7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A239273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1B5FF2D" w14:textId="7E9B8ADC" w:rsidR="00463097" w:rsidRPr="00E91888" w:rsidRDefault="00261C42" w:rsidP="00045535">
      <w:pPr>
        <w:spacing w:before="100" w:beforeAutospacing="1" w:after="100" w:afterAutospacing="1" w:line="315" w:lineRule="atLeast"/>
        <w:jc w:val="center"/>
        <w:outlineLvl w:val="2"/>
        <w:rPr>
          <w:rFonts w:ascii="Tahoma" w:hAnsi="Tahoma" w:cs="Tahoma"/>
          <w:color w:val="444444"/>
          <w:sz w:val="30"/>
          <w:szCs w:val="30"/>
          <w:lang w:eastAsia="mk-MK"/>
        </w:rPr>
      </w:pPr>
      <w:r>
        <w:rPr>
          <w:rFonts w:ascii="Tahoma" w:hAnsi="Tahoma" w:cs="Tahoma"/>
          <w:color w:val="444444"/>
          <w:sz w:val="30"/>
          <w:szCs w:val="30"/>
          <w:lang w:val="mk-MK" w:eastAsia="mk-MK"/>
        </w:rPr>
        <w:t>БМ И КАМ за алхохолни пијалаци</w:t>
      </w:r>
    </w:p>
    <w:p w14:paraId="0E0B1A12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AF3EB45" w14:textId="475ADB35" w:rsidR="00463097" w:rsidRPr="00E91888" w:rsidRDefault="00261C42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Работни </w:t>
      </w:r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</w:p>
    <w:p w14:paraId="768EEE37" w14:textId="6ADBB2D0" w:rsidR="00E03236" w:rsidRDefault="00A05F05" w:rsidP="00A05F05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Контакт со принципали во однос на:</w:t>
      </w:r>
    </w:p>
    <w:p w14:paraId="0967C86E" w14:textId="4DC012AD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Годишен план на увоз на брендовите</w:t>
      </w:r>
    </w:p>
    <w:p w14:paraId="5C996358" w14:textId="2B06E57B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Маркетинг буџет и негова алокација</w:t>
      </w:r>
    </w:p>
    <w:p w14:paraId="0906BB18" w14:textId="3519CC4A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Приготвување на </w:t>
      </w:r>
      <w:r w:rsidRPr="00A05F05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back- up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документи за потрошеноста на средствата</w:t>
      </w:r>
    </w:p>
    <w:p w14:paraId="2D440167" w14:textId="034AA53F" w:rsidR="00A05F05" w:rsidRP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Месечен извештај за прод</w:t>
      </w:r>
      <w:r w:rsidR="00045535">
        <w:rPr>
          <w:rFonts w:ascii="Tahoma" w:hAnsi="Tahoma" w:cs="Tahoma"/>
          <w:color w:val="444444"/>
          <w:sz w:val="17"/>
          <w:szCs w:val="17"/>
          <w:lang w:eastAsia="mk-MK"/>
        </w:rPr>
        <w:t>a</w:t>
      </w:r>
      <w:bookmarkStart w:id="0" w:name="_GoBack"/>
      <w:bookmarkEnd w:id="0"/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ж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ба на брендовите</w:t>
      </w:r>
    </w:p>
    <w:p w14:paraId="2C099624" w14:textId="359DD5DE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Приложување на презентации за активностите на терен</w:t>
      </w:r>
    </w:p>
    <w:p w14:paraId="0322717B" w14:textId="2C3CDB84" w:rsidR="00A05F05" w:rsidRPr="00261C42" w:rsidRDefault="00A05F05" w:rsidP="00261C42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>Контакт со клучни купувачи во off trade за:</w:t>
      </w:r>
    </w:p>
    <w:p w14:paraId="35BE288D" w14:textId="4D1DC9D9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Пратење на комерцијалните услови</w:t>
      </w:r>
    </w:p>
    <w:p w14:paraId="0AD559A2" w14:textId="22770AD6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Улистување на нови производи</w:t>
      </w:r>
    </w:p>
    <w:p w14:paraId="4BE77C59" w14:textId="790D9182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р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ганизација на ак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т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ивностите за унапредување на продажбата</w:t>
      </w:r>
    </w:p>
    <w:p w14:paraId="2D70F1CE" w14:textId="10557FE4" w:rsidR="00A05F05" w:rsidRPr="00261C42" w:rsidRDefault="00A05F05" w:rsidP="00261C42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Контакт со внатрешните служби и сектори на друштвото и почитување на внатрешните процедури , а се во насока на успешна продажба и дистрибуција </w:t>
      </w:r>
      <w:r w:rsidR="00261C42"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>на производите и развој на брендовите од портфолиото.</w:t>
      </w:r>
    </w:p>
    <w:p w14:paraId="62D44241" w14:textId="77777777" w:rsidR="00FC1DCE" w:rsidRPr="00E91888" w:rsidRDefault="00FC1DCE" w:rsidP="00FC1DCE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056BAFA" w14:textId="77777777" w:rsidR="00247759" w:rsidRDefault="00247759" w:rsidP="00247759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кавалификации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</w:p>
    <w:p w14:paraId="6A4FB0FB" w14:textId="77777777" w:rsidR="00247759" w:rsidRDefault="00247759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eastAsia="mk-MK"/>
        </w:rPr>
        <w:t>CCC/</w:t>
      </w:r>
      <w:r w:rsidR="00463097" w:rsidRPr="00E91888">
        <w:rPr>
          <w:rFonts w:ascii="Tahoma" w:hAnsi="Tahoma" w:cs="Tahoma"/>
          <w:color w:val="444444"/>
          <w:sz w:val="17"/>
          <w:szCs w:val="17"/>
          <w:lang w:eastAsia="mk-MK"/>
        </w:rPr>
        <w:t>ВСС</w:t>
      </w:r>
    </w:p>
    <w:p w14:paraId="0E4574D0" w14:textId="77777777" w:rsidR="00247759" w:rsidRDefault="00247759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Претходно работно искуство на иста или слична позиција</w:t>
      </w:r>
    </w:p>
    <w:p w14:paraId="199F0B0F" w14:textId="77777777" w:rsidR="00463097" w:rsidRPr="00E91888" w:rsidRDefault="00463097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(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пишување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говорење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)</w:t>
      </w:r>
    </w:p>
    <w:p w14:paraId="0577FA78" w14:textId="77777777" w:rsidR="00463097" w:rsidRPr="00E91888" w:rsidRDefault="00463097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компјутер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 (Word,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Excell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, PowerPoint,</w:t>
      </w:r>
    </w:p>
    <w:p w14:paraId="6ACBA07D" w14:textId="2FADBD64" w:rsidR="00247759" w:rsidRPr="00247759" w:rsidRDefault="00463097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(</w:t>
      </w:r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B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)</w:t>
      </w:r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ab/>
      </w:r>
    </w:p>
    <w:p w14:paraId="20D8D459" w14:textId="77777777" w:rsidR="00247759" w:rsidRPr="00247759" w:rsidRDefault="00247759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Развиени комуникациски и презентерски способмности</w:t>
      </w:r>
    </w:p>
    <w:p w14:paraId="6B1E019A" w14:textId="77777777" w:rsidR="00261C42" w:rsidRPr="00261C42" w:rsidRDefault="00247759" w:rsidP="0064050D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Развиени интерперсонални способности</w:t>
      </w:r>
    </w:p>
    <w:p w14:paraId="39571467" w14:textId="79304F6D" w:rsidR="0064050D" w:rsidRPr="0064050D" w:rsidRDefault="0064050D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CB6847D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Лични карактеристики</w:t>
      </w:r>
    </w:p>
    <w:p w14:paraId="5819A082" w14:textId="743681E0" w:rsidR="00261C42" w:rsidRDefault="00261C42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Самоиницијативност</w:t>
      </w:r>
    </w:p>
    <w:p w14:paraId="034C7062" w14:textId="71A11F95" w:rsidR="00261C42" w:rsidRPr="00261C42" w:rsidRDefault="00261C42" w:rsidP="00261C42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Аналитичност</w:t>
      </w:r>
    </w:p>
    <w:p w14:paraId="37DA169E" w14:textId="0FE032EA" w:rsidR="00261C42" w:rsidRPr="0064050D" w:rsidRDefault="00261C42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Самомотивираност</w:t>
      </w:r>
    </w:p>
    <w:p w14:paraId="35F0C169" w14:textId="270DFA79" w:rsidR="00247759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Ефективност и ефикасност</w:t>
      </w:r>
    </w:p>
    <w:p w14:paraId="5E4EC806" w14:textId="1137F267" w:rsidR="00261C42" w:rsidRPr="00261C42" w:rsidRDefault="00261C42" w:rsidP="00261C42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Динамичност</w:t>
      </w:r>
    </w:p>
    <w:p w14:paraId="70389F0D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Позитивен став</w:t>
      </w:r>
    </w:p>
    <w:p w14:paraId="473AA19F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поставување на приоритети</w:t>
      </w:r>
    </w:p>
    <w:p w14:paraId="2F5719D1" w14:textId="1EA90C60" w:rsid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самостојно решавање на проблеми</w:t>
      </w:r>
    </w:p>
    <w:p w14:paraId="564C8143" w14:textId="77777777" w:rsidR="00261C42" w:rsidRPr="00261C42" w:rsidRDefault="00261C42" w:rsidP="00261C42">
      <w:p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</w:p>
    <w:p w14:paraId="3B864496" w14:textId="3A9A19CE" w:rsidR="00463097" w:rsidRPr="00885AE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261C4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БМ </w:t>
      </w:r>
      <w:r w:rsidR="00885AE8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и КАМ за алхохолни </w:t>
      </w:r>
      <w:proofErr w:type="gramStart"/>
      <w:r w:rsidR="00885AE8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пијалаци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885AE8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.</w:t>
      </w:r>
      <w:proofErr w:type="gramEnd"/>
    </w:p>
    <w:p w14:paraId="4E513330" w14:textId="44DCCF06" w:rsidR="00463097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65FEF531" w14:textId="77777777" w:rsidR="00885AE8" w:rsidRDefault="00885AE8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0109598" w14:textId="77777777" w:rsidR="00885AE8" w:rsidRPr="00885AE8" w:rsidRDefault="00885AE8" w:rsidP="00885AE8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6747B159" w14:textId="77777777" w:rsidR="00885AE8" w:rsidRPr="00885AE8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46B87F6" w14:textId="77777777" w:rsidR="00885AE8" w:rsidRPr="00885AE8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73F17CAD" w14:textId="6C4BC008" w:rsidR="00885AE8" w:rsidRPr="00E91888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1C2599C6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6988F288" w14:textId="77777777" w:rsidR="00463097" w:rsidRDefault="00463097" w:rsidP="00463097"/>
    <w:sectPr w:rsid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8F080" w14:textId="77777777" w:rsidR="002506B6" w:rsidRDefault="002506B6" w:rsidP="0084739F">
      <w:r>
        <w:separator/>
      </w:r>
    </w:p>
  </w:endnote>
  <w:endnote w:type="continuationSeparator" w:id="0">
    <w:p w14:paraId="505CBF10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D2EB0" w14:textId="77777777" w:rsidR="002506B6" w:rsidRDefault="002506B6" w:rsidP="0084739F">
      <w:r>
        <w:separator/>
      </w:r>
    </w:p>
  </w:footnote>
  <w:footnote w:type="continuationSeparator" w:id="0">
    <w:p w14:paraId="640F6C8F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2B67A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4AC95E3B" wp14:editId="2A30D0AE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11236"/>
    <w:multiLevelType w:val="hybridMultilevel"/>
    <w:tmpl w:val="729655A0"/>
    <w:lvl w:ilvl="0" w:tplc="952E7FFC">
      <w:numFmt w:val="bullet"/>
      <w:lvlText w:val="-"/>
      <w:lvlJc w:val="left"/>
      <w:pPr>
        <w:ind w:left="1305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45535"/>
    <w:rsid w:val="000A4D0E"/>
    <w:rsid w:val="000F5A20"/>
    <w:rsid w:val="001753BE"/>
    <w:rsid w:val="001A26F9"/>
    <w:rsid w:val="001F7AAF"/>
    <w:rsid w:val="00245BCE"/>
    <w:rsid w:val="00247759"/>
    <w:rsid w:val="002506B6"/>
    <w:rsid w:val="00261C42"/>
    <w:rsid w:val="0028488E"/>
    <w:rsid w:val="002F6311"/>
    <w:rsid w:val="004050A5"/>
    <w:rsid w:val="00463097"/>
    <w:rsid w:val="004764D7"/>
    <w:rsid w:val="00590737"/>
    <w:rsid w:val="006234EC"/>
    <w:rsid w:val="0064050D"/>
    <w:rsid w:val="00680829"/>
    <w:rsid w:val="00694D1A"/>
    <w:rsid w:val="006A57FC"/>
    <w:rsid w:val="006F3108"/>
    <w:rsid w:val="00817AA7"/>
    <w:rsid w:val="00841301"/>
    <w:rsid w:val="0084739F"/>
    <w:rsid w:val="0086059B"/>
    <w:rsid w:val="00885AE8"/>
    <w:rsid w:val="008B3061"/>
    <w:rsid w:val="008B3A11"/>
    <w:rsid w:val="009412A8"/>
    <w:rsid w:val="00942015"/>
    <w:rsid w:val="00A05F05"/>
    <w:rsid w:val="00A8750A"/>
    <w:rsid w:val="00AD2D84"/>
    <w:rsid w:val="00B455D4"/>
    <w:rsid w:val="00B57E2C"/>
    <w:rsid w:val="00C20575"/>
    <w:rsid w:val="00C45947"/>
    <w:rsid w:val="00C60980"/>
    <w:rsid w:val="00CD7C88"/>
    <w:rsid w:val="00CE0465"/>
    <w:rsid w:val="00CF34F7"/>
    <w:rsid w:val="00E03236"/>
    <w:rsid w:val="00F22766"/>
    <w:rsid w:val="00F605F9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821DA76"/>
  <w15:docId w15:val="{E8EE5504-0CBE-4D8E-9181-6D48F7B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04BA-34E2-4705-B242-FA813603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311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4</cp:revision>
  <dcterms:created xsi:type="dcterms:W3CDTF">2019-01-09T10:04:00Z</dcterms:created>
  <dcterms:modified xsi:type="dcterms:W3CDTF">2019-01-09T11:34:00Z</dcterms:modified>
</cp:coreProperties>
</file>